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7" w:rsidRPr="00FF09C9" w:rsidRDefault="00890108" w:rsidP="003571AA">
      <w:pPr>
        <w:tabs>
          <w:tab w:val="left" w:pos="50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>ТЕХНИКАЛЫҚ ЕРЕКШЕЛІГІ</w:t>
      </w:r>
    </w:p>
    <w:p w:rsidR="00890108" w:rsidRPr="00FF09C9" w:rsidRDefault="00890108" w:rsidP="008901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мәліметтер</w:t>
      </w:r>
    </w:p>
    <w:p w:rsidR="00254877" w:rsidRPr="00FF09C9" w:rsidRDefault="00890108" w:rsidP="00890108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алудың мәні «Бабушкина,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Лужниковская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Ужгородская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, Коммунистическая көшелері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(Лиговская көшесінен Каретная көшесіне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) кә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салу" жұмыс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.)»</w:t>
      </w:r>
    </w:p>
    <w:p w:rsidR="00890108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08" w:rsidRPr="00FF09C9" w:rsidRDefault="00254877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C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90108" w:rsidRPr="00FF09C9">
        <w:rPr>
          <w:rFonts w:ascii="Times New Roman" w:hAnsi="Times New Roman" w:cs="Times New Roman"/>
          <w:b/>
          <w:sz w:val="28"/>
          <w:szCs w:val="28"/>
        </w:rPr>
        <w:t>2. Өні</w:t>
      </w:r>
      <w:proofErr w:type="gramStart"/>
      <w:r w:rsidR="00890108" w:rsidRPr="00FF09C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90108" w:rsidRPr="00FF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b/>
          <w:sz w:val="28"/>
          <w:szCs w:val="28"/>
        </w:rPr>
        <w:t>берушіге</w:t>
      </w:r>
      <w:proofErr w:type="spellEnd"/>
      <w:r w:rsidR="00890108" w:rsidRPr="00FF09C9">
        <w:rPr>
          <w:rFonts w:ascii="Times New Roman" w:hAnsi="Times New Roman" w:cs="Times New Roman"/>
          <w:b/>
          <w:sz w:val="28"/>
          <w:szCs w:val="28"/>
        </w:rPr>
        <w:t xml:space="preserve"> қойылатын </w:t>
      </w:r>
      <w:proofErr w:type="spellStart"/>
      <w:r w:rsidR="00890108" w:rsidRPr="00FF09C9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ED2437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-жобалау-сметалық құжаттамаға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r w:rsidRPr="00FF09C9">
        <w:rPr>
          <w:rFonts w:ascii="Times New Roman" w:hAnsi="Times New Roman" w:cs="Times New Roman"/>
          <w:i/>
          <w:sz w:val="28"/>
          <w:szCs w:val="28"/>
        </w:rPr>
        <w:t>(бұдан әрі-құжаттама)</w:t>
      </w:r>
      <w:r w:rsidRPr="00FF09C9">
        <w:rPr>
          <w:rFonts w:ascii="Times New Roman" w:hAnsi="Times New Roman" w:cs="Times New Roman"/>
          <w:sz w:val="28"/>
          <w:szCs w:val="28"/>
        </w:rPr>
        <w:t xml:space="preserve"> құрылысқа арналған жобаларға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сараптаманы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құқығына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куәлігі бар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ұйымы жүргізуі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.</w:t>
      </w:r>
    </w:p>
    <w:p w:rsidR="00890108" w:rsidRPr="00FF09C9" w:rsidRDefault="00890108" w:rsidP="0025487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-«сараптамалық ұйымдар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» ЭАҚҰ мүшелігіне 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(АГ және ДС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ту</w:t>
      </w:r>
      <w:r w:rsidR="00FF09C9">
        <w:rPr>
          <w:rFonts w:ascii="Times New Roman" w:hAnsi="Times New Roman" w:cs="Times New Roman"/>
          <w:sz w:val="28"/>
          <w:szCs w:val="28"/>
        </w:rPr>
        <w:t>ралы</w:t>
      </w:r>
      <w:proofErr w:type="spellEnd"/>
      <w:r w:rsidR="00FF09C9">
        <w:rPr>
          <w:rFonts w:ascii="Times New Roman" w:hAnsi="Times New Roman" w:cs="Times New Roman"/>
          <w:sz w:val="28"/>
          <w:szCs w:val="28"/>
        </w:rPr>
        <w:t xml:space="preserve"> ҚРЗ 64-5-бабының 1-тармағы</w:t>
      </w:r>
      <w:r w:rsidRPr="00FF09C9">
        <w:rPr>
          <w:rFonts w:ascii="Times New Roman" w:hAnsi="Times New Roman" w:cs="Times New Roman"/>
          <w:sz w:val="28"/>
          <w:szCs w:val="28"/>
        </w:rPr>
        <w:t>);</w:t>
      </w:r>
    </w:p>
    <w:p w:rsidR="00890108" w:rsidRPr="00FF09C9" w:rsidRDefault="00890108" w:rsidP="0025487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-жобаның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імдеріне сәйкес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мамандандырулар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аттестатталған өз құрамында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бес сарапшының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болуы</w:t>
      </w:r>
      <w:proofErr w:type="spellEnd"/>
    </w:p>
    <w:p w:rsidR="00254877" w:rsidRPr="00FF09C9" w:rsidRDefault="00890108" w:rsidP="0089010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куәлік.</w:t>
      </w:r>
    </w:p>
    <w:p w:rsidR="00890108" w:rsidRPr="00FF09C9" w:rsidRDefault="00890108" w:rsidP="00254877">
      <w:pPr>
        <w:autoSpaceDE w:val="0"/>
        <w:autoSpaceDN w:val="0"/>
        <w:adjustRightInd w:val="0"/>
        <w:spacing w:after="0" w:line="240" w:lineRule="auto"/>
        <w:ind w:left="284"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08" w:rsidRPr="00FF09C9" w:rsidRDefault="00890108" w:rsidP="00890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C9">
        <w:rPr>
          <w:rFonts w:ascii="Times New Roman" w:hAnsi="Times New Roman" w:cs="Times New Roman"/>
          <w:b/>
          <w:sz w:val="28"/>
          <w:szCs w:val="28"/>
        </w:rPr>
        <w:t>Жұмыс өнді</w:t>
      </w:r>
      <w:proofErr w:type="gramStart"/>
      <w:r w:rsidRPr="00FF09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ісінің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шарттары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>.</w:t>
      </w:r>
    </w:p>
    <w:p w:rsidR="00890108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ңімпаз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айқындалған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:</w:t>
      </w:r>
    </w:p>
    <w:p w:rsidR="00890108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-Қазақстан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Ұлттық экономика министрінің </w:t>
      </w:r>
      <w:r w:rsidRPr="00FF09C9">
        <w:rPr>
          <w:rFonts w:ascii="Times New Roman" w:hAnsi="Times New Roman" w:cs="Times New Roman"/>
          <w:b/>
          <w:sz w:val="28"/>
          <w:szCs w:val="28"/>
        </w:rPr>
        <w:t>2015 жылғы 01 сәуірдегі № 299</w:t>
      </w:r>
      <w:r w:rsidRPr="00FF09C9">
        <w:rPr>
          <w:rFonts w:ascii="Times New Roman" w:hAnsi="Times New Roman" w:cs="Times New Roman"/>
          <w:sz w:val="28"/>
          <w:szCs w:val="28"/>
        </w:rPr>
        <w:t xml:space="preserve"> бұйрығымен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қаржыландыру көздерінен тәуелсіз жаңа ғимараттар мен құрылыстарды салуға, сондай-ақ қолданыстағы ғимараттар мен құрылыстарды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нженерлік және көліктік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коммуникацияларды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өзгертуге (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, кеңейту, техникалық қайта жарақтандыру, жаңғырту және күрделі жөндеу) арналған жобалау-сметалық құжаттаманың техникалы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экономикалық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негіздемелерін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ведомстволық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қағидаларына сәйкес жобалау-сметалық құжаттама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жүргізу;</w:t>
      </w:r>
    </w:p>
    <w:p w:rsidR="00890108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 құпиялылықты сақтау және қаралатын құжаттар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коммерциялық құпияны қамтамасыз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;</w:t>
      </w:r>
    </w:p>
    <w:p w:rsidR="00044ED8" w:rsidRPr="00FF09C9" w:rsidRDefault="0089010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>-сәулет, қ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құрылысы және құрылыс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жөніндегі уәкілетті орган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тәртіппен сарапшының құжаттаманы қарауы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істердің ағымдағы жағдайы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Орындаушының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орналастыруға;</w:t>
      </w:r>
    </w:p>
    <w:p w:rsidR="00044ED8" w:rsidRPr="00FF09C9" w:rsidRDefault="00044ED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 </w:t>
      </w:r>
      <w:r w:rsidR="00890108" w:rsidRPr="00FF09C9">
        <w:rPr>
          <w:rFonts w:ascii="Times New Roman" w:hAnsi="Times New Roman" w:cs="Times New Roman"/>
          <w:sz w:val="28"/>
          <w:szCs w:val="28"/>
        </w:rPr>
        <w:t xml:space="preserve">жүргізілген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0108"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сараптаманың нәтижелері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(салалық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сараптамалар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мен ведомстволық келісімдердің нәтижелерін қоса алғанда)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берушіге:қаралған құжаттаманы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ұсынысы бар оң сараптамалық қорытынды;немесе құжаттаманы Жаңа сараптамаға қайта ұсыну үшін құжаттаманы тұтастай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оның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бөлімдерін (бө</w:t>
      </w:r>
      <w:proofErr w:type="gramStart"/>
      <w:r w:rsidR="00890108" w:rsidRPr="00FF09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іктерін) пысықтау (қайта өңдеу)ұсынысы бар сараптамалық қорытынды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берілсін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>.;</w:t>
      </w:r>
    </w:p>
    <w:p w:rsidR="00044ED8" w:rsidRPr="00FF09C9" w:rsidRDefault="00044ED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108" w:rsidRPr="00FF09C9">
        <w:rPr>
          <w:rFonts w:ascii="Times New Roman" w:hAnsi="Times New Roman" w:cs="Times New Roman"/>
          <w:sz w:val="28"/>
          <w:szCs w:val="28"/>
        </w:rPr>
        <w:t xml:space="preserve">құжаттауға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0108"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жүргізілгеннен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оң сараптамалық қорытынды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жағдайда </w:t>
      </w:r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(оны </w:t>
      </w:r>
      <w:proofErr w:type="spellStart"/>
      <w:r w:rsidR="00890108" w:rsidRPr="00FF09C9">
        <w:rPr>
          <w:rFonts w:ascii="Times New Roman" w:hAnsi="Times New Roman" w:cs="Times New Roman"/>
          <w:i/>
          <w:sz w:val="28"/>
          <w:szCs w:val="28"/>
        </w:rPr>
        <w:t>іске</w:t>
      </w:r>
      <w:proofErr w:type="spellEnd"/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i/>
          <w:sz w:val="28"/>
          <w:szCs w:val="28"/>
        </w:rPr>
        <w:t>асыру</w:t>
      </w:r>
      <w:proofErr w:type="spellEnd"/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 үшін қаралған құжаттаманы </w:t>
      </w:r>
      <w:proofErr w:type="spellStart"/>
      <w:r w:rsidR="00890108" w:rsidRPr="00FF09C9">
        <w:rPr>
          <w:rFonts w:ascii="Times New Roman" w:hAnsi="Times New Roman" w:cs="Times New Roman"/>
          <w:i/>
          <w:sz w:val="28"/>
          <w:szCs w:val="28"/>
        </w:rPr>
        <w:t>бекітуге</w:t>
      </w:r>
      <w:proofErr w:type="spellEnd"/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 ұсыныспен)</w:t>
      </w:r>
      <w:r w:rsidR="00890108" w:rsidRPr="00FF09C9">
        <w:rPr>
          <w:rFonts w:ascii="Times New Roman" w:hAnsi="Times New Roman" w:cs="Times New Roman"/>
          <w:sz w:val="28"/>
          <w:szCs w:val="28"/>
        </w:rPr>
        <w:t xml:space="preserve"> құжаттаманы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берушіде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және әзірлеушіде </w:t>
      </w:r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(бас </w:t>
      </w:r>
      <w:proofErr w:type="spellStart"/>
      <w:r w:rsidR="00890108" w:rsidRPr="00FF09C9">
        <w:rPr>
          <w:rFonts w:ascii="Times New Roman" w:hAnsi="Times New Roman" w:cs="Times New Roman"/>
          <w:i/>
          <w:sz w:val="28"/>
          <w:szCs w:val="28"/>
        </w:rPr>
        <w:t>жобалау</w:t>
      </w:r>
      <w:proofErr w:type="spellEnd"/>
      <w:r w:rsidR="00890108" w:rsidRPr="00FF09C9">
        <w:rPr>
          <w:rFonts w:ascii="Times New Roman" w:hAnsi="Times New Roman" w:cs="Times New Roman"/>
          <w:i/>
          <w:sz w:val="28"/>
          <w:szCs w:val="28"/>
        </w:rPr>
        <w:t xml:space="preserve"> ұйымында)</w:t>
      </w:r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бақылау мұрағаттық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данасы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сақтау үшін құжаттаманың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бөлімдеріне (бө</w:t>
      </w:r>
      <w:proofErr w:type="gramStart"/>
      <w:r w:rsidR="00890108" w:rsidRPr="00FF09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іктеріне) </w:t>
      </w:r>
      <w:proofErr w:type="spellStart"/>
      <w:r w:rsidR="00890108" w:rsidRPr="00FF09C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890108" w:rsidRPr="00FF09C9">
        <w:rPr>
          <w:rFonts w:ascii="Times New Roman" w:hAnsi="Times New Roman" w:cs="Times New Roman"/>
          <w:sz w:val="28"/>
          <w:szCs w:val="28"/>
        </w:rPr>
        <w:t xml:space="preserve"> сарапшылардың электрондық цифрлық қолтаңбасымен куәландыру</w:t>
      </w:r>
      <w:r w:rsidRPr="00FF09C9">
        <w:rPr>
          <w:rFonts w:ascii="Times New Roman" w:hAnsi="Times New Roman" w:cs="Times New Roman"/>
          <w:sz w:val="28"/>
          <w:szCs w:val="28"/>
        </w:rPr>
        <w:t>;</w:t>
      </w:r>
    </w:p>
    <w:p w:rsidR="00044ED8" w:rsidRPr="00FF09C9" w:rsidRDefault="00044ED8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- </w:t>
      </w:r>
      <w:r w:rsidR="00FF09C9" w:rsidRPr="00FF09C9">
        <w:rPr>
          <w:rFonts w:ascii="Times New Roman" w:hAnsi="Times New Roman" w:cs="Times New Roman"/>
          <w:sz w:val="28"/>
          <w:szCs w:val="28"/>
        </w:rPr>
        <w:t xml:space="preserve">сараптамалық қорытынды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жағдайда құжаттаманың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нормативтердің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құжаттаманы жаңа сараптамаға қайта ұсыну үшін құжаттаманы тұтастай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оның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бөлімдерін (бөліктерін) пысықтау (қайта өңдеу) ұсынысымен осы ақпаратты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сәуле</w:t>
      </w:r>
      <w:proofErr w:type="gramStart"/>
      <w:r w:rsidR="00FF09C9" w:rsidRPr="00FF09C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құрылыс бақылау және қадағалау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>, сондай-ақ сәулет, қ</w:t>
      </w:r>
      <w:proofErr w:type="gramStart"/>
      <w:r w:rsidR="00FF09C9" w:rsidRPr="00FF09C9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құрылысы және құрылыс </w:t>
      </w:r>
      <w:proofErr w:type="spellStart"/>
      <w:r w:rsidR="00FF09C9" w:rsidRPr="00FF09C9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="00FF09C9" w:rsidRPr="00FF09C9">
        <w:rPr>
          <w:rFonts w:ascii="Times New Roman" w:hAnsi="Times New Roman" w:cs="Times New Roman"/>
          <w:sz w:val="28"/>
          <w:szCs w:val="28"/>
        </w:rPr>
        <w:t xml:space="preserve"> жөніндегі уәкілетті органға беру</w:t>
      </w:r>
      <w:r w:rsidRPr="00FF09C9">
        <w:rPr>
          <w:rFonts w:ascii="Times New Roman" w:hAnsi="Times New Roman" w:cs="Times New Roman"/>
          <w:sz w:val="28"/>
          <w:szCs w:val="28"/>
        </w:rPr>
        <w:t>.</w:t>
      </w:r>
    </w:p>
    <w:p w:rsidR="00254877" w:rsidRPr="00FF09C9" w:rsidRDefault="00254877" w:rsidP="00254877">
      <w:pPr>
        <w:autoSpaceDE w:val="0"/>
        <w:autoSpaceDN w:val="0"/>
        <w:adjustRightInd w:val="0"/>
        <w:spacing w:after="0" w:line="240" w:lineRule="auto"/>
        <w:ind w:left="426"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9C9" w:rsidRPr="00FF09C9" w:rsidRDefault="00FF09C9" w:rsidP="00FF09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Ерекше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шарттар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>.</w:t>
      </w:r>
    </w:p>
    <w:p w:rsidR="00254877" w:rsidRPr="00FF09C9" w:rsidRDefault="00FF09C9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сараптаманы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жүзеге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экологиялық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және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санитарлық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9C9">
        <w:rPr>
          <w:rFonts w:ascii="Times New Roman" w:hAnsi="Times New Roman" w:cs="Times New Roman"/>
          <w:sz w:val="28"/>
          <w:szCs w:val="28"/>
        </w:rPr>
        <w:t>эпидемиологиялық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қауіпсіздік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бөлігінде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9C9">
        <w:rPr>
          <w:rFonts w:ascii="Times New Roman" w:hAnsi="Times New Roman" w:cs="Times New Roman"/>
          <w:sz w:val="28"/>
          <w:szCs w:val="28"/>
        </w:rPr>
        <w:t>салалық</w:t>
      </w:r>
      <w:r w:rsidRPr="00FF0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сараптамалар</w:t>
      </w:r>
      <w:proofErr w:type="spellEnd"/>
      <w:r w:rsidRPr="00FF09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09C9" w:rsidRPr="00FF09C9" w:rsidRDefault="00FF09C9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D8" w:rsidRPr="00FF09C9" w:rsidRDefault="00254877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9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09C9" w:rsidRPr="00FF09C9">
        <w:rPr>
          <w:rFonts w:ascii="Times New Roman" w:hAnsi="Times New Roman" w:cs="Times New Roman"/>
          <w:b/>
          <w:sz w:val="28"/>
          <w:szCs w:val="28"/>
        </w:rPr>
        <w:t xml:space="preserve">5. Жұмыстарды </w:t>
      </w:r>
      <w:proofErr w:type="spellStart"/>
      <w:r w:rsidR="00FF09C9" w:rsidRPr="00FF09C9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="00FF09C9" w:rsidRPr="00FF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C9" w:rsidRPr="00FF09C9">
        <w:rPr>
          <w:rFonts w:ascii="Times New Roman" w:hAnsi="Times New Roman" w:cs="Times New Roman"/>
          <w:b/>
          <w:sz w:val="28"/>
          <w:szCs w:val="28"/>
        </w:rPr>
        <w:t>мерзі</w:t>
      </w:r>
      <w:proofErr w:type="gramStart"/>
      <w:r w:rsidR="00FF09C9" w:rsidRPr="00FF09C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F09C9" w:rsidRPr="00FF09C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FF09C9" w:rsidRPr="00FF09C9">
        <w:rPr>
          <w:rFonts w:ascii="Times New Roman" w:hAnsi="Times New Roman" w:cs="Times New Roman"/>
          <w:b/>
          <w:sz w:val="28"/>
          <w:szCs w:val="28"/>
        </w:rPr>
        <w:t>.</w:t>
      </w:r>
    </w:p>
    <w:p w:rsidR="00FF09C9" w:rsidRPr="00FF09C9" w:rsidRDefault="00FF09C9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жүргізудің ұзақтығы </w:t>
      </w:r>
      <w:r w:rsidRPr="00FF09C9">
        <w:rPr>
          <w:rFonts w:ascii="Times New Roman" w:hAnsi="Times New Roman" w:cs="Times New Roman"/>
          <w:i/>
          <w:sz w:val="28"/>
          <w:szCs w:val="28"/>
        </w:rPr>
        <w:t xml:space="preserve">(салалық </w:t>
      </w:r>
      <w:proofErr w:type="spellStart"/>
      <w:r w:rsidRPr="00FF09C9">
        <w:rPr>
          <w:rFonts w:ascii="Times New Roman" w:hAnsi="Times New Roman" w:cs="Times New Roman"/>
          <w:i/>
          <w:sz w:val="28"/>
          <w:szCs w:val="28"/>
        </w:rPr>
        <w:t>сараптаманы</w:t>
      </w:r>
      <w:proofErr w:type="spellEnd"/>
      <w:r w:rsidRPr="00FF09C9">
        <w:rPr>
          <w:rFonts w:ascii="Times New Roman" w:hAnsi="Times New Roman" w:cs="Times New Roman"/>
          <w:i/>
          <w:sz w:val="28"/>
          <w:szCs w:val="28"/>
        </w:rPr>
        <w:t xml:space="preserve"> қоса алғанда)</w:t>
      </w:r>
      <w:r w:rsidRPr="00FF09C9">
        <w:rPr>
          <w:rFonts w:ascii="Times New Roman" w:hAnsi="Times New Roman" w:cs="Times New Roman"/>
          <w:sz w:val="28"/>
          <w:szCs w:val="28"/>
        </w:rPr>
        <w:t xml:space="preserve"> - </w:t>
      </w:r>
      <w:r w:rsidRPr="00FF09C9">
        <w:rPr>
          <w:rFonts w:ascii="Times New Roman" w:hAnsi="Times New Roman" w:cs="Times New Roman"/>
          <w:b/>
          <w:sz w:val="28"/>
          <w:szCs w:val="28"/>
        </w:rPr>
        <w:t xml:space="preserve">жиынтықтылығы мен құрамына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тексерілгеннен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кейін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қабылданған күннен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 30 жұмыс күні.</w:t>
      </w:r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77" w:rsidRPr="00FF09C9" w:rsidRDefault="00FF09C9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Орындаушының сараптамалық қорытындыға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нөмі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күні жобалау-сметалық құжаттама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сараптаманы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аяқтау күні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.</w:t>
      </w:r>
      <w:r w:rsidR="00254877" w:rsidRPr="00FF0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9C9" w:rsidRPr="00FF09C9" w:rsidRDefault="00FF09C9" w:rsidP="00254877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9C9" w:rsidRPr="00FF09C9" w:rsidRDefault="00FF09C9" w:rsidP="00FF09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C9">
        <w:rPr>
          <w:rFonts w:ascii="Times New Roman" w:hAnsi="Times New Roman" w:cs="Times New Roman"/>
          <w:b/>
          <w:sz w:val="28"/>
          <w:szCs w:val="28"/>
        </w:rPr>
        <w:t>Жұмыс көлемі және</w:t>
      </w:r>
      <w:proofErr w:type="gramStart"/>
      <w:r w:rsidRPr="00FF09C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FF09C9">
        <w:rPr>
          <w:rFonts w:ascii="Times New Roman" w:hAnsi="Times New Roman" w:cs="Times New Roman"/>
          <w:b/>
          <w:sz w:val="28"/>
          <w:szCs w:val="28"/>
        </w:rPr>
        <w:t xml:space="preserve">өлем </w:t>
      </w:r>
      <w:proofErr w:type="spellStart"/>
      <w:r w:rsidRPr="00FF09C9">
        <w:rPr>
          <w:rFonts w:ascii="Times New Roman" w:hAnsi="Times New Roman" w:cs="Times New Roman"/>
          <w:b/>
          <w:sz w:val="28"/>
          <w:szCs w:val="28"/>
        </w:rPr>
        <w:t>шарттары</w:t>
      </w:r>
      <w:proofErr w:type="spellEnd"/>
      <w:r w:rsidRPr="00FF09C9">
        <w:rPr>
          <w:rFonts w:ascii="Times New Roman" w:hAnsi="Times New Roman" w:cs="Times New Roman"/>
          <w:b/>
          <w:sz w:val="28"/>
          <w:szCs w:val="28"/>
        </w:rPr>
        <w:t>.</w:t>
      </w:r>
    </w:p>
    <w:p w:rsidR="00FF09C9" w:rsidRPr="00FF09C9" w:rsidRDefault="00FF09C9" w:rsidP="00FF09C9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Жобалау-сметалық құжаттамаға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осы Ереженің 12-тармағына сәйкес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"Бабушкина,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Лужниковская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Ужгородская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, Коммунистическая (Лиговская көшесінен Каретная көшесіне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>) көшесіндегі кә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салу" жұмыс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жобасына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сараптаманың қорытындысын электрондық тасымалдағышта беру.</w:t>
      </w:r>
      <w:r w:rsidR="003571AA" w:rsidRPr="00FF09C9">
        <w:rPr>
          <w:rFonts w:ascii="Times New Roman" w:hAnsi="Times New Roman" w:cs="Times New Roman"/>
          <w:sz w:val="28"/>
          <w:szCs w:val="28"/>
        </w:rPr>
        <w:tab/>
      </w:r>
      <w:r w:rsidRPr="00FF09C9">
        <w:rPr>
          <w:rFonts w:ascii="Times New Roman" w:hAnsi="Times New Roman" w:cs="Times New Roman"/>
          <w:sz w:val="28"/>
          <w:szCs w:val="28"/>
        </w:rPr>
        <w:t xml:space="preserve">Төлем орындалған жұмыстарды қабылдау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орындалған жұмыстар үшін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аяқталғаннан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жүргізіледі.</w:t>
      </w:r>
    </w:p>
    <w:p w:rsidR="00254877" w:rsidRPr="00FF09C9" w:rsidRDefault="00FF09C9" w:rsidP="00FF09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9C9"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Қаржы министрінің 2015 жылғы 11 желтоқсандағы № 648 бұйрығымен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қағидаларының 175-1-тармағына сәйкес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құрылысы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жөніндегі жұмыстарға әлеуетті өнім берушінің конкурсқа қатысуға өтінімінің бағасы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құрылысы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ведомстводан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9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жөніндегі жұмыстардың құнын айқындау, сондай-ақ әр түрлі </w:t>
      </w:r>
      <w:r w:rsidRPr="00FF09C9">
        <w:rPr>
          <w:rFonts w:ascii="Times New Roman" w:hAnsi="Times New Roman" w:cs="Times New Roman"/>
          <w:sz w:val="28"/>
          <w:szCs w:val="28"/>
        </w:rPr>
        <w:lastRenderedPageBreak/>
        <w:t xml:space="preserve">деңгейдегі аумақтардың қала құрылысын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қала құрылысы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сараптамасын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жүргізу министрінің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FF09C9">
        <w:rPr>
          <w:rFonts w:ascii="Times New Roman" w:hAnsi="Times New Roman" w:cs="Times New Roman"/>
          <w:sz w:val="28"/>
          <w:szCs w:val="28"/>
        </w:rPr>
        <w:t xml:space="preserve"> атқарушының 2015 жылғы 21 желтоқсандағы № 780 бұйрығымен </w:t>
      </w:r>
      <w:proofErr w:type="spellStart"/>
      <w:r w:rsidRPr="00FF09C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</w:p>
    <w:p w:rsidR="00254877" w:rsidRPr="00FF09C9" w:rsidRDefault="00254877" w:rsidP="0025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C9" w:rsidRPr="00FF09C9" w:rsidRDefault="00FF09C9" w:rsidP="00FF09C9">
      <w:pPr>
        <w:spacing w:after="0"/>
        <w:ind w:left="-284" w:right="56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9C9">
        <w:rPr>
          <w:rFonts w:ascii="Times New Roman" w:hAnsi="Times New Roman" w:cs="Times New Roman"/>
          <w:b/>
          <w:sz w:val="28"/>
          <w:szCs w:val="28"/>
          <w:lang w:val="kk-KZ"/>
        </w:rPr>
        <w:t>"Қарағанды қаласының құрылыс бөлімі "ММ басшысының м.а.</w:t>
      </w:r>
    </w:p>
    <w:p w:rsidR="00FF09C9" w:rsidRPr="00FF09C9" w:rsidRDefault="00FF09C9" w:rsidP="00FF09C9">
      <w:pPr>
        <w:spacing w:after="0"/>
        <w:ind w:left="-284" w:right="56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9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</w:p>
    <w:p w:rsidR="00FF09C9" w:rsidRPr="00FF09C9" w:rsidRDefault="00FF09C9" w:rsidP="00FF09C9">
      <w:pPr>
        <w:spacing w:after="0"/>
        <w:ind w:left="-284" w:right="56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9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FF09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Р.М. Тюлюбаев</w:t>
      </w:r>
    </w:p>
    <w:p w:rsidR="00254877" w:rsidRPr="00FF09C9" w:rsidRDefault="00254877" w:rsidP="0025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877" w:rsidRPr="00FF09C9" w:rsidRDefault="00254877" w:rsidP="00254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877" w:rsidRPr="00FF09C9" w:rsidSect="00D2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B19"/>
    <w:multiLevelType w:val="hybridMultilevel"/>
    <w:tmpl w:val="40A212F6"/>
    <w:lvl w:ilvl="0" w:tplc="292E2A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353D06"/>
    <w:multiLevelType w:val="hybridMultilevel"/>
    <w:tmpl w:val="EEFAB118"/>
    <w:lvl w:ilvl="0" w:tplc="382C80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3A0234"/>
    <w:multiLevelType w:val="hybridMultilevel"/>
    <w:tmpl w:val="427ABFF4"/>
    <w:lvl w:ilvl="0" w:tplc="69F0B7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ED8"/>
    <w:rsid w:val="00044ED8"/>
    <w:rsid w:val="00114741"/>
    <w:rsid w:val="00130521"/>
    <w:rsid w:val="001A7A87"/>
    <w:rsid w:val="002539EF"/>
    <w:rsid w:val="00254877"/>
    <w:rsid w:val="002B2144"/>
    <w:rsid w:val="002C00A6"/>
    <w:rsid w:val="002E3761"/>
    <w:rsid w:val="003571AA"/>
    <w:rsid w:val="00561944"/>
    <w:rsid w:val="007B6F07"/>
    <w:rsid w:val="00802B8D"/>
    <w:rsid w:val="00890108"/>
    <w:rsid w:val="0092320A"/>
    <w:rsid w:val="00A4655F"/>
    <w:rsid w:val="00AA304D"/>
    <w:rsid w:val="00AF11DE"/>
    <w:rsid w:val="00BC7174"/>
    <w:rsid w:val="00C868FD"/>
    <w:rsid w:val="00D261B6"/>
    <w:rsid w:val="00D26BEC"/>
    <w:rsid w:val="00E37AC1"/>
    <w:rsid w:val="00E724CD"/>
    <w:rsid w:val="00ED2437"/>
    <w:rsid w:val="00FF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сстроойй5</cp:lastModifiedBy>
  <cp:revision>2</cp:revision>
  <cp:lastPrinted>2019-06-04T06:07:00Z</cp:lastPrinted>
  <dcterms:created xsi:type="dcterms:W3CDTF">2019-06-04T06:07:00Z</dcterms:created>
  <dcterms:modified xsi:type="dcterms:W3CDTF">2019-06-04T06:07:00Z</dcterms:modified>
</cp:coreProperties>
</file>