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686"/>
      </w:tblGrid>
      <w:tr>
        <w:trPr>
          <w:trHeight w:val="1" w:hRule="atLeast"/>
          <w:jc w:val="right"/>
        </w:trPr>
        <w:tc>
          <w:tcPr>
            <w:tcW w:w="36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Приложение 5</w:t>
              <w:br/>
              <w:t xml:space="preserve">к Конкурсной документации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Сведения о квалификации (заполняется потенциальным поставщиком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auto" w:val="clear"/>
        </w:rPr>
        <w:t xml:space="preserve">(субподрядчиком)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при закупках работ в сфере строительства (строительно-монтажные работы и работы по проектированию)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заказчика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организатора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конкурса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конкурса 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лота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лота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БИН/ИИН/ИНН/УНП и наименование потенциального поставщика 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соответствующего разрешения (уведомления),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(уведомления) в случаях отсутствия сведений о них в информационных системах государственных органов.</w:t>
      </w:r>
    </w:p>
    <w:tbl>
      <w:tblPr/>
      <w:tblGrid>
        <w:gridCol w:w="421"/>
        <w:gridCol w:w="2110"/>
        <w:gridCol w:w="1332"/>
        <w:gridCol w:w="1685"/>
        <w:gridCol w:w="1712"/>
        <w:gridCol w:w="2429"/>
      </w:tblGrid>
      <w:tr>
        <w:trPr>
          <w:trHeight w:val="587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разрешения (уведомления)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Вид деятельности</w:t>
            </w:r>
          </w:p>
        </w:tc>
        <w:tc>
          <w:tcPr>
            <w:tcW w:w="1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Особые условия (категория)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Дата и номер выдачи документа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разрешения (уведомления)</w:t>
            </w:r>
          </w:p>
        </w:tc>
      </w:tr>
      <w:tr>
        <w:trPr>
          <w:trHeight w:val="291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а также о финансовой устойчивости потенциального поставщика определяются веб-порталом автоматически на основании сведений органов государственных доходов.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Обладание материальными и трудовыми ресурсами подтверждается соответствующим разрешением (уведомлением), выданным в соответствии с законодательством Республики Казахстан о разрешениях и уведомлениях, предусмотренным пунктом 1 настоящего приложения.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опыта выполненных работ в течение последних десяти лет, предшествующих текущему году, аналогичных (схожих) закупаемым на конкурсе, подтверждаются согласно документам, находящимся в электронном депозитарии (заполняется в случае наличия).</w:t>
      </w:r>
    </w:p>
    <w:tbl>
      <w:tblPr/>
      <w:tblGrid>
        <w:gridCol w:w="828"/>
        <w:gridCol w:w="741"/>
        <w:gridCol w:w="1522"/>
        <w:gridCol w:w="897"/>
        <w:gridCol w:w="897"/>
        <w:gridCol w:w="730"/>
        <w:gridCol w:w="910"/>
        <w:gridCol w:w="950"/>
        <w:gridCol w:w="742"/>
        <w:gridCol w:w="638"/>
        <w:gridCol w:w="897"/>
        <w:gridCol w:w="845"/>
      </w:tblGrid>
      <w:tr>
        <w:trPr>
          <w:trHeight w:val="3347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работы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Статус потенциального поставщика по объекту строительства (генеральный подрядчик, генеральный проектировщик/субподрядчик)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Вид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Уровень ответственности зданий и сооружений (первый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повышенный, второй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нормальный, третий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пониженный)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Техническая сложность объектов (здания и сооружения, относящиеся к технически сложным объектам, и здания, и сооружения, не относящиеся к технически сложным объектам)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Функциональное назначение (промышленные объекты, производственные здания, сооружения, объекты жилищно-гражданского назначения, прочие сооружения)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Место выполнения работы (местонахождение объекта)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заказчика</w:t>
            </w:r>
          </w:p>
        </w:tc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Год, месяц завершения работ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tbl>
      <w:tblPr/>
      <w:tblGrid>
        <w:gridCol w:w="566"/>
        <w:gridCol w:w="9032"/>
      </w:tblGrid>
      <w:tr>
        <w:trPr>
          <w:trHeight w:val="438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3" w:dyaOrig="303">
                <v:rect xmlns:o="urn:schemas-microsoft-com:office:office" xmlns:v="urn:schemas-microsoft-com:vml" id="rectole0000000000" style="width:13.150000pt;height:15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Достоверность всех сведений о квалификации подтверждаю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наличие опыта работы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строительство новых, а также расширение, техническое перевооружение, модернизация, реконструкция, реставрация и капитальный ремонт существующих объектов, документом, подтверждающим опыт работы, являются электронные копии актов приемки выполненных работ и приемки объектов в эксплуатацию по форме, утвержденной уполномоченным органом в области архитектурной, градостроительной и строительной деятельности в соответствии со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статьей 20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Закона Республики Казахстан от 16 июля 2001 года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Об архитектурной, градостроительной и строительной деятельности в Республике Казахстан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электронные копии актов приемки выполненных работ и приемки объектов в эксплуатацию).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эксплуатацию, в котором указываются сведения об этом субподрядчике.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 отсутствия сведений о субподрядчике в акте приемки объекта в эксплуатацию, дополнительно представляется электронная копия декларации о соответствии, в которой указываются сведения об этом субподрядчике.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строительство, реконструкция, капитальный ремонт автомобильных дорог, документом, подтверждающим опыт работы, являются электронные копии актов приемки выполненных работ (сертификаты, акты приемки выполненных работ согласно ведомости договорной цены) и приемки объектов в эксплуатацию.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разработка проектно-сметной документации, документом, подтверждающим опыт работы, является электронная копия положительного заключения экспертизы.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новое строительство, учитывается опыт работы только строительства новых объектов.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Опыт работы по реконструкции автомобильных дорог и (или) инженерных сетей учитывается при новом строительстве автомобильных дорог и (или) инженерных сетей.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расширение, модернизация, техническое перевооружение и реконструкция, то учитывается опыт работы строительства новых объектов, расширения, модернизации, технического перевооружения и реконструкции существующих объектов, за исключением капитального ремонта.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является капитальный ремонт, то учитывается опыт работы строительства новых объектов, расширения, модернизации, технического перевооружения, реконструкции и капитального ремонта существующих объектов.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7.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работы по разработке проектно-сметной документации, учитывается опыт работы по разработке проектно-сметной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работы по корректировке или привязке проектно-сметной документации, учитывается опыт работы по разработке, корректировке, привязке проектно-сметной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8.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Опыт работы в сфере строительства рассчитывается исходя из функционального назначения и отраслевой принадлежности объектов строительства (аналогичность или схожесть ранее выполненных работ по видам строительства) и их технической сложности, определенной в соответствии с законодательством Республики Казахстан об архитектурной, градостроительной и строительной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9.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 расчете опыта работы в сфере строительства (строительно-монтажные работы и проектирование) потенциального поставщика в совокупности учитывается: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уровень ответственности зданий и сооружений (первый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повышенный, второй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нормальный, третий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пониженный).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здания и сооружения первого (повышенного) уровня ответственности, учитывается опыт работы только зданий и сооружений первого (повышенного) уровня ответственности.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здания и сооружения второго (нормального) уровня ответственности, учитывается опыт работы зданий и сооружений первого (повышенного) и второго (нормального) уровня ответственности.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здания и сооружения третьего (пониженного) уровня ответственности, учитывается опыт работы зданий и сооружений первого (повышенного), второго (нормального) и третьего (пониженного) уровня ответственности;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техническая сложность объектов (здания и сооружения, относящиеся к технически сложным объектам, и здания и сооружения, не относящиеся к технически сложным объектам).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технически сложные объекты (комплексы), учитывается опыт работы только технически сложных объектов (комплексов).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здания и сооружения, не относящиеся к технически сложным объектам (комплексам), учитывается опыт работы технически сложных объектов (комплексов) и зданий и сооружений, не относящихся к технически сложным объектам (комплексам);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функциональное назначение (промышленные объекты, производственные здания, сооружения, объекты жилищно-гражданского назначения, прочие сооружения);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аналогичность или схожесть ранее выполненных работ, учитывается при условии их нахождения в одном подвиде лицензируемого вида деятельности, предусмотренного разделами 5 и 6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Перечня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разрешений первой категории (лицензий) Закона Республики Казахстан от 16 мая 2014 года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 разрешениях и уведомлениях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Закон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 разрешениях и уведомлениях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 предметом конкурса, за исключением работ на объектах жилищно-гражданского назначения.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10.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Опыт работы при комплексном строительстве (новое строительство, расширение, техническое перевооружение, модернизация, реконструкция, реставрация и капитальный ремонт существующих объектов) инженерных сетей и систем (несколько видов инженерных сетей и систем), опыт работы рассчитывать исходя из наличия хотя бы одного из видов инженерных сетей и систем.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Опыт работы при комплексном строительстве (новое строительство, расширение, техническое перевооружение, модернизация, реконструкция, реставрация и капитальный ремонт существующих объектов) автомобильных дорог и инженерных сетей и систем (несколько видов инженерных сетей и систем), опыт работы рассчитывать исходя из наличия опыта работ автомобильных дорог и наличия хотя бы одного из видов инженерных сетей и систем.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видов, опыт работы потенциального поставщика учитывается при наличии опыта по всем лицензируемым видам работ, предусмотренным в предмете конкурса.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случае, если наличие опыта работы является квалификационным требованием, опыт работы в качестве субподрядчика учитывается при соблюдении в совокупности следующих условий: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один год опыта работы присваивается при наличии не менее двух объектов выполненных работ в качестве субподрядчика в год. При наличии опыта работы более двух объектов выполненных работ в год, присвоение более одного года опыта работы не допускается;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опыт работы субподрядчика учитывается при условии выполнения работ (одного или нескольких) на объектах, соответствующих предмету конкурса. При этом, опыт работы субподрядчика учитывается только по лицензируемым видам деятельности согласно Закону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 разрешениях и уведомлениях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Под объектом понимаются работы, выполненные в рамках одного гражданско-правового договора, предмет которого соответствует предмету проводимых государственных закупок.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 расчете опыта работы по договорам со сроком свыше одного года признается год завершения строительства.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Предоставление электронных копий подтверждающих документов обязательно только по тем сведениям, указание которых предусмотрено в конкурсной документации. В случае, если конкурсной документацией не предусмотрены требования в части обладания соответствующими материальными и трудовыми ресурсами, электронные копии подтверждающих документов могут не предоставляться.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Документом, подтверждающим право аренды материальных ресурсов, является электронная копия договора аренды либо электронная копия предварительного договора аренды. При этом, срок аренды по договорам не должен быть менее срока выполнения работ, установленного в конкурсной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Не допускается представление электронной копии договора субаренды материальных ресурсов.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Требования пунктов 2 в части финансовой устойчивости, 4 и 5 настоящего приложения не распространяются на субподрядчиков.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Расшифровка аббревиатур: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бизнес-идентификационный номер;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индивидуальный идентификационный номер;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идентификационный номер налогоплательщика;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УНП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учетный номер плательщика;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фамилия, имя, отчество (при наличии).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10.61.43.123/rus/docs/Z1400000202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10.61.43.123/rus/docs/Z010000242_" Id="docRId2" Type="http://schemas.openxmlformats.org/officeDocument/2006/relationships/hyperlink" /><Relationship Target="numbering.xml" Id="docRId4" Type="http://schemas.openxmlformats.org/officeDocument/2006/relationships/numbering" /></Relationships>
</file>