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6" w:rsidRPr="00AC7AC6" w:rsidRDefault="00AC7AC6" w:rsidP="00AC7AC6">
      <w:pPr>
        <w:pStyle w:val="a9"/>
        <w:spacing w:before="0" w:beforeAutospacing="0" w:after="0" w:afterAutospacing="0"/>
        <w:ind w:firstLine="460"/>
        <w:jc w:val="right"/>
        <w:rPr>
          <w:sz w:val="28"/>
          <w:szCs w:val="28"/>
          <w:lang w:val="ru-RU"/>
        </w:rPr>
      </w:pPr>
      <w:r w:rsidRPr="00AC7AC6">
        <w:rPr>
          <w:sz w:val="28"/>
          <w:szCs w:val="28"/>
        </w:rPr>
        <w:t xml:space="preserve">Приложение </w:t>
      </w:r>
      <w:r w:rsidRPr="00AC7AC6">
        <w:rPr>
          <w:sz w:val="28"/>
          <w:szCs w:val="28"/>
          <w:lang w:val="ru-RU"/>
        </w:rPr>
        <w:t>5</w:t>
      </w:r>
      <w:r w:rsidRPr="00AC7AC6">
        <w:rPr>
          <w:sz w:val="28"/>
          <w:szCs w:val="28"/>
        </w:rPr>
        <w:br/>
        <w:t>к конкурсной документации</w:t>
      </w:r>
    </w:p>
    <w:p w:rsidR="003623CA" w:rsidRDefault="003623CA" w:rsidP="003623CA">
      <w:pPr>
        <w:spacing w:after="0" w:line="240" w:lineRule="auto"/>
        <w:jc w:val="center"/>
        <w:rPr>
          <w:rFonts w:ascii="Times New Roman" w:eastAsia="Times New Roman" w:hAnsi="Times New Roman" w:cs="Times New Roman"/>
          <w:bCs/>
          <w:sz w:val="28"/>
          <w:szCs w:val="28"/>
          <w:lang w:eastAsia="ru-RU"/>
        </w:rPr>
      </w:pPr>
    </w:p>
    <w:p w:rsidR="00AC7AC6" w:rsidRPr="00AC7AC6" w:rsidRDefault="00AC7AC6" w:rsidP="003623CA">
      <w:pPr>
        <w:spacing w:after="0" w:line="240" w:lineRule="auto"/>
        <w:jc w:val="center"/>
        <w:rPr>
          <w:rFonts w:ascii="Times New Roman" w:eastAsia="Times New Roman" w:hAnsi="Times New Roman" w:cs="Times New Roman"/>
          <w:bCs/>
          <w:sz w:val="28"/>
          <w:szCs w:val="28"/>
          <w:lang w:eastAsia="ru-RU"/>
        </w:rPr>
      </w:pPr>
    </w:p>
    <w:p w:rsidR="003623CA" w:rsidRPr="00B23B6A" w:rsidRDefault="003623CA" w:rsidP="003623CA">
      <w:pPr>
        <w:spacing w:after="0" w:line="240" w:lineRule="auto"/>
        <w:jc w:val="center"/>
        <w:rPr>
          <w:rFonts w:ascii="Times New Roman" w:eastAsia="Times New Roman" w:hAnsi="Times New Roman" w:cs="Times New Roman"/>
          <w:sz w:val="28"/>
          <w:szCs w:val="28"/>
          <w:lang w:eastAsia="ru-RU"/>
        </w:rPr>
      </w:pPr>
      <w:r w:rsidRPr="00B23B6A">
        <w:rPr>
          <w:rFonts w:ascii="Times New Roman" w:eastAsia="Times New Roman" w:hAnsi="Times New Roman" w:cs="Times New Roman"/>
          <w:bCs/>
          <w:sz w:val="28"/>
          <w:szCs w:val="28"/>
          <w:lang w:eastAsia="ru-RU"/>
        </w:rPr>
        <w:t>Сведения о квалификации</w:t>
      </w:r>
      <w:r w:rsidRPr="00B23B6A">
        <w:rPr>
          <w:rFonts w:ascii="Times New Roman" w:eastAsia="Times New Roman" w:hAnsi="Times New Roman" w:cs="Times New Roman"/>
          <w:sz w:val="28"/>
          <w:szCs w:val="28"/>
          <w:lang w:eastAsia="ru-RU"/>
        </w:rPr>
        <w:br/>
      </w:r>
      <w:r w:rsidRPr="00B23B6A">
        <w:rPr>
          <w:rFonts w:ascii="Times New Roman" w:eastAsia="Times New Roman" w:hAnsi="Times New Roman" w:cs="Times New Roman"/>
          <w:bCs/>
          <w:sz w:val="28"/>
          <w:szCs w:val="28"/>
          <w:lang w:eastAsia="ru-RU"/>
        </w:rPr>
        <w:t>(заполняется потенциальным поставщиком при закупках работ)</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 конкурса _____________________________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конкурса 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 лота _________________________________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лота ______________________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p>
    <w:p w:rsidR="003623CA" w:rsidRPr="0088135B" w:rsidRDefault="003623CA" w:rsidP="003623CA">
      <w:pPr>
        <w:spacing w:after="0" w:line="240" w:lineRule="auto"/>
        <w:rPr>
          <w:rFonts w:ascii="Times New Roman" w:eastAsia="Times New Roman" w:hAnsi="Times New Roman" w:cs="Times New Roman"/>
          <w:sz w:val="28"/>
          <w:szCs w:val="28"/>
          <w:lang w:eastAsia="ru-RU"/>
        </w:rPr>
      </w:pP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1. Общие сведения о потенциальном поставщике:</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__________________________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БИН/ИИН/ИНН/УНП ____________________</w:t>
      </w: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941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9"/>
        <w:gridCol w:w="957"/>
        <w:gridCol w:w="1846"/>
        <w:gridCol w:w="851"/>
        <w:gridCol w:w="1134"/>
        <w:gridCol w:w="1701"/>
        <w:gridCol w:w="2693"/>
      </w:tblGrid>
      <w:tr w:rsidR="003623CA" w:rsidRPr="0088135B" w:rsidTr="00756C8E">
        <w:trPr>
          <w:trHeight w:val="1491"/>
          <w:tblCellSpacing w:w="15" w:type="dxa"/>
        </w:trPr>
        <w:tc>
          <w:tcPr>
            <w:tcW w:w="184" w:type="dxa"/>
            <w:tcBorders>
              <w:top w:val="single" w:sz="4" w:space="0" w:color="auto"/>
              <w:left w:val="single" w:sz="4" w:space="0" w:color="auto"/>
            </w:tcBorders>
            <w:vAlign w:val="center"/>
          </w:tcPr>
          <w:p w:rsidR="003623CA" w:rsidRPr="0088135B" w:rsidRDefault="003623CA" w:rsidP="003623CA">
            <w:pPr>
              <w:spacing w:after="0" w:line="240" w:lineRule="auto"/>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w:t>
            </w:r>
          </w:p>
        </w:tc>
        <w:tc>
          <w:tcPr>
            <w:tcW w:w="927" w:type="dxa"/>
            <w:tcBorders>
              <w:top w:val="single" w:sz="4" w:space="0" w:color="auto"/>
              <w:lef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работы</w:t>
            </w:r>
          </w:p>
        </w:tc>
        <w:tc>
          <w:tcPr>
            <w:tcW w:w="1816" w:type="dxa"/>
            <w:tcBorders>
              <w:top w:val="single" w:sz="4" w:space="0" w:color="auto"/>
              <w:left w:val="single" w:sz="4" w:space="0" w:color="auto"/>
              <w:righ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Место выполнения работы (местонахождение объекта)</w:t>
            </w:r>
          </w:p>
        </w:tc>
        <w:tc>
          <w:tcPr>
            <w:tcW w:w="821" w:type="dxa"/>
            <w:tcBorders>
              <w:top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заказчика</w:t>
            </w:r>
          </w:p>
        </w:tc>
        <w:tc>
          <w:tcPr>
            <w:tcW w:w="1104" w:type="dxa"/>
            <w:tcBorders>
              <w:top w:val="single" w:sz="4" w:space="0" w:color="auto"/>
              <w:lef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Год, месяц завершения работ</w:t>
            </w:r>
          </w:p>
        </w:tc>
        <w:tc>
          <w:tcPr>
            <w:tcW w:w="1671" w:type="dxa"/>
            <w:tcBorders>
              <w:top w:val="single" w:sz="4" w:space="0" w:color="auto"/>
              <w:lef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дата и номер подтверждающего документа</w:t>
            </w:r>
          </w:p>
        </w:tc>
        <w:tc>
          <w:tcPr>
            <w:tcW w:w="2648" w:type="dxa"/>
            <w:tcBorders>
              <w:top w:val="single" w:sz="4" w:space="0" w:color="auto"/>
              <w:left w:val="single" w:sz="4" w:space="0" w:color="auto"/>
              <w:righ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Стоимость договора, тенге</w:t>
            </w:r>
          </w:p>
        </w:tc>
      </w:tr>
      <w:tr w:rsidR="003623CA" w:rsidRPr="0088135B" w:rsidTr="00756C8E">
        <w:trPr>
          <w:trHeight w:val="311"/>
          <w:tblCellSpacing w:w="15" w:type="dxa"/>
        </w:trPr>
        <w:tc>
          <w:tcPr>
            <w:tcW w:w="184" w:type="dxa"/>
            <w:tcBorders>
              <w:top w:val="single" w:sz="4" w:space="0" w:color="auto"/>
              <w:left w:val="single" w:sz="4" w:space="0" w:color="auto"/>
              <w:bottom w:val="single" w:sz="4" w:space="0" w:color="auto"/>
            </w:tcBorders>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1</w:t>
            </w:r>
          </w:p>
        </w:tc>
        <w:tc>
          <w:tcPr>
            <w:tcW w:w="927" w:type="dxa"/>
            <w:tcBorders>
              <w:top w:val="single" w:sz="4" w:space="0" w:color="auto"/>
              <w:left w:val="single" w:sz="4" w:space="0" w:color="auto"/>
              <w:bottom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821" w:type="dxa"/>
            <w:tcBorders>
              <w:top w:val="single" w:sz="4" w:space="0" w:color="auto"/>
              <w:bottom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1104" w:type="dxa"/>
            <w:tcBorders>
              <w:top w:val="single" w:sz="4" w:space="0" w:color="auto"/>
              <w:left w:val="single" w:sz="4" w:space="0" w:color="auto"/>
              <w:bottom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1671" w:type="dxa"/>
            <w:tcBorders>
              <w:top w:val="single" w:sz="4" w:space="0" w:color="auto"/>
              <w:left w:val="single" w:sz="4" w:space="0" w:color="auto"/>
              <w:bottom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2648" w:type="dxa"/>
            <w:tcBorders>
              <w:top w:val="single" w:sz="4" w:space="0" w:color="auto"/>
              <w:left w:val="single" w:sz="4" w:space="0" w:color="auto"/>
              <w:bottom w:val="single" w:sz="4" w:space="0" w:color="auto"/>
              <w:right w:val="single" w:sz="4" w:space="0" w:color="auto"/>
            </w:tcBorders>
            <w:vAlign w:val="center"/>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r>
    </w:tbl>
    <w:p w:rsidR="003623CA" w:rsidRPr="0088135B" w:rsidRDefault="003623CA" w:rsidP="003623CA">
      <w:pPr>
        <w:spacing w:after="0" w:line="240" w:lineRule="auto"/>
        <w:jc w:val="both"/>
        <w:rPr>
          <w:rFonts w:ascii="Times New Roman" w:eastAsia="Times New Roman" w:hAnsi="Times New Roman" w:cs="Times New Roman"/>
          <w:sz w:val="28"/>
          <w:szCs w:val="28"/>
          <w:lang w:val="en-US" w:eastAsia="ru-RU"/>
        </w:rPr>
      </w:pP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
        <w:gridCol w:w="1086"/>
        <w:gridCol w:w="1421"/>
        <w:gridCol w:w="1276"/>
        <w:gridCol w:w="2410"/>
        <w:gridCol w:w="2835"/>
      </w:tblGrid>
      <w:tr w:rsidR="003623CA" w:rsidRPr="0088135B" w:rsidTr="00756C8E">
        <w:trPr>
          <w:trHeight w:val="29"/>
        </w:trPr>
        <w:tc>
          <w:tcPr>
            <w:tcW w:w="228"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w:t>
            </w:r>
          </w:p>
        </w:tc>
        <w:tc>
          <w:tcPr>
            <w:tcW w:w="1086"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Наименование материальных ресурсов</w:t>
            </w:r>
          </w:p>
        </w:tc>
        <w:tc>
          <w:tcPr>
            <w:tcW w:w="1421"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Количество имеющихся единиц</w:t>
            </w:r>
          </w:p>
        </w:tc>
        <w:tc>
          <w:tcPr>
            <w:tcW w:w="1276"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Состояние (новое, хорошее, плохое)</w:t>
            </w:r>
          </w:p>
        </w:tc>
        <w:tc>
          <w:tcPr>
            <w:tcW w:w="2410"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 xml:space="preserve">Собственное (приложить документы, подтверждающие право собственности), арендованное (у кого и приложить документы, подтверждающие право </w:t>
            </w:r>
            <w:r w:rsidRPr="0088135B">
              <w:rPr>
                <w:rFonts w:ascii="Times New Roman" w:eastAsia="Times New Roman" w:hAnsi="Times New Roman" w:cs="Times New Roman"/>
                <w:color w:val="000000"/>
                <w:sz w:val="28"/>
                <w:szCs w:val="28"/>
                <w:lang w:eastAsia="ru-RU"/>
              </w:rPr>
              <w:lastRenderedPageBreak/>
              <w:t>собственности арендодателя)</w:t>
            </w:r>
          </w:p>
        </w:tc>
        <w:tc>
          <w:tcPr>
            <w:tcW w:w="2835"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lastRenderedPageBreak/>
              <w:t>Наименование, дата и номер подтверждающего документа</w:t>
            </w:r>
          </w:p>
        </w:tc>
      </w:tr>
    </w:tbl>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4. Сведения о трудовых ресурсах, с приложением электронных копий подтверждающих документов.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3236"/>
        <w:gridCol w:w="1701"/>
        <w:gridCol w:w="4111"/>
      </w:tblGrid>
      <w:tr w:rsidR="003623CA" w:rsidRPr="0088135B" w:rsidTr="00756C8E">
        <w:trPr>
          <w:trHeight w:val="1474"/>
        </w:trPr>
        <w:tc>
          <w:tcPr>
            <w:tcW w:w="308" w:type="dxa"/>
            <w:shd w:val="clear" w:color="auto" w:fill="auto"/>
            <w:vAlign w:val="center"/>
            <w:hideMark/>
          </w:tcPr>
          <w:p w:rsidR="003623CA" w:rsidRPr="0088135B" w:rsidRDefault="003623CA" w:rsidP="003623CA">
            <w:pPr>
              <w:spacing w:after="0" w:line="240" w:lineRule="auto"/>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w:t>
            </w:r>
          </w:p>
        </w:tc>
        <w:tc>
          <w:tcPr>
            <w:tcW w:w="3236" w:type="dxa"/>
            <w:shd w:val="clear" w:color="auto" w:fill="auto"/>
            <w:vAlign w:val="center"/>
            <w:hideMark/>
          </w:tcPr>
          <w:p w:rsidR="003623CA" w:rsidRPr="0088135B" w:rsidRDefault="003623CA" w:rsidP="003623CA">
            <w:pPr>
              <w:spacing w:after="0" w:line="240" w:lineRule="auto"/>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Ф. И. О. работников (приложить электронную копию документа, удостоверяющего личность)</w:t>
            </w:r>
          </w:p>
        </w:tc>
        <w:tc>
          <w:tcPr>
            <w:tcW w:w="1701" w:type="dxa"/>
            <w:shd w:val="clear" w:color="auto" w:fill="auto"/>
            <w:vAlign w:val="center"/>
            <w:hideMark/>
          </w:tcPr>
          <w:p w:rsidR="003623CA" w:rsidRPr="0088135B" w:rsidRDefault="003623CA" w:rsidP="003623CA">
            <w:pPr>
              <w:spacing w:after="0" w:line="240" w:lineRule="auto"/>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Должность</w:t>
            </w:r>
          </w:p>
        </w:tc>
        <w:tc>
          <w:tcPr>
            <w:tcW w:w="4111" w:type="dxa"/>
            <w:shd w:val="clear" w:color="auto" w:fill="auto"/>
            <w:vAlign w:val="center"/>
            <w:hideMark/>
          </w:tcPr>
          <w:p w:rsidR="003623CA" w:rsidRPr="0088135B" w:rsidRDefault="003623CA" w:rsidP="003623CA">
            <w:pPr>
              <w:spacing w:after="0" w:line="240" w:lineRule="auto"/>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3623CA" w:rsidRPr="0088135B" w:rsidTr="00756C8E">
        <w:trPr>
          <w:trHeight w:val="308"/>
        </w:trPr>
        <w:tc>
          <w:tcPr>
            <w:tcW w:w="308"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1</w:t>
            </w:r>
          </w:p>
        </w:tc>
        <w:tc>
          <w:tcPr>
            <w:tcW w:w="3236"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1701"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c>
          <w:tcPr>
            <w:tcW w:w="4111"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p>
        </w:tc>
      </w:tr>
    </w:tbl>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p w:rsidR="003623CA" w:rsidRPr="0088135B" w:rsidRDefault="003623CA" w:rsidP="003623CA">
      <w:pPr>
        <w:spacing w:after="0" w:line="240" w:lineRule="auto"/>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1970"/>
        <w:gridCol w:w="2319"/>
        <w:gridCol w:w="1559"/>
        <w:gridCol w:w="3119"/>
      </w:tblGrid>
      <w:tr w:rsidR="003623CA" w:rsidRPr="0088135B" w:rsidTr="00756C8E">
        <w:trPr>
          <w:trHeight w:val="37"/>
        </w:trPr>
        <w:tc>
          <w:tcPr>
            <w:tcW w:w="28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color w:val="000000"/>
                <w:sz w:val="28"/>
                <w:szCs w:val="28"/>
                <w:lang w:eastAsia="ru-RU"/>
              </w:rPr>
              <w:t>№</w:t>
            </w:r>
          </w:p>
        </w:tc>
        <w:tc>
          <w:tcPr>
            <w:tcW w:w="1970"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Наименование разрешения (лицензия)</w:t>
            </w:r>
          </w:p>
        </w:tc>
        <w:tc>
          <w:tcPr>
            <w:tcW w:w="231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Вид деятельности</w:t>
            </w:r>
          </w:p>
        </w:tc>
        <w:tc>
          <w:tcPr>
            <w:tcW w:w="155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Особые условия (категория)</w:t>
            </w:r>
          </w:p>
        </w:tc>
        <w:tc>
          <w:tcPr>
            <w:tcW w:w="311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Дата и номер выдачи документа</w:t>
            </w:r>
          </w:p>
        </w:tc>
      </w:tr>
      <w:tr w:rsidR="003623CA" w:rsidRPr="0088135B" w:rsidTr="00756C8E">
        <w:trPr>
          <w:trHeight w:val="37"/>
        </w:trPr>
        <w:tc>
          <w:tcPr>
            <w:tcW w:w="28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color w:val="000000"/>
                <w:sz w:val="28"/>
                <w:szCs w:val="28"/>
                <w:lang w:eastAsia="ru-RU"/>
              </w:rPr>
            </w:pPr>
            <w:r w:rsidRPr="0088135B">
              <w:rPr>
                <w:rFonts w:ascii="Times New Roman" w:eastAsia="Times New Roman" w:hAnsi="Times New Roman" w:cs="Times New Roman"/>
                <w:color w:val="000000"/>
                <w:sz w:val="28"/>
                <w:szCs w:val="28"/>
                <w:lang w:eastAsia="ru-RU"/>
              </w:rPr>
              <w:t>1.</w:t>
            </w:r>
          </w:p>
        </w:tc>
        <w:tc>
          <w:tcPr>
            <w:tcW w:w="1970"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color w:val="000000"/>
                <w:sz w:val="28"/>
                <w:szCs w:val="28"/>
                <w:lang w:eastAsia="ru-RU"/>
              </w:rPr>
            </w:pPr>
          </w:p>
        </w:tc>
        <w:tc>
          <w:tcPr>
            <w:tcW w:w="231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color w:val="000000"/>
                <w:sz w:val="28"/>
                <w:szCs w:val="28"/>
                <w:lang w:eastAsia="ru-RU"/>
              </w:rPr>
            </w:pPr>
          </w:p>
        </w:tc>
        <w:tc>
          <w:tcPr>
            <w:tcW w:w="155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color w:val="000000"/>
                <w:sz w:val="28"/>
                <w:szCs w:val="28"/>
                <w:lang w:eastAsia="ru-RU"/>
              </w:rPr>
            </w:pPr>
          </w:p>
        </w:tc>
        <w:tc>
          <w:tcPr>
            <w:tcW w:w="3119" w:type="dxa"/>
            <w:tcMar>
              <w:top w:w="15" w:type="dxa"/>
              <w:left w:w="15" w:type="dxa"/>
              <w:bottom w:w="15" w:type="dxa"/>
              <w:right w:w="15" w:type="dxa"/>
            </w:tcMar>
            <w:vAlign w:val="center"/>
          </w:tcPr>
          <w:p w:rsidR="003623CA" w:rsidRPr="0088135B" w:rsidRDefault="003623CA" w:rsidP="003623CA">
            <w:pPr>
              <w:spacing w:after="0" w:line="240" w:lineRule="auto"/>
              <w:ind w:left="20"/>
              <w:jc w:val="center"/>
              <w:rPr>
                <w:rFonts w:ascii="Times New Roman" w:eastAsia="Times New Roman" w:hAnsi="Times New Roman" w:cs="Times New Roman"/>
                <w:sz w:val="28"/>
                <w:szCs w:val="28"/>
                <w:lang w:eastAsia="ru-RU"/>
              </w:rPr>
            </w:pPr>
          </w:p>
        </w:tc>
      </w:tr>
    </w:tbl>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__________________________________________________________</w:t>
      </w:r>
    </w:p>
    <w:p w:rsidR="003623CA" w:rsidRPr="0088135B" w:rsidRDefault="003623CA" w:rsidP="003623CA">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834"/>
      </w:tblGrid>
      <w:tr w:rsidR="003623CA" w:rsidRPr="0088135B" w:rsidTr="00756C8E">
        <w:trPr>
          <w:trHeight w:val="614"/>
        </w:trPr>
        <w:tc>
          <w:tcPr>
            <w:tcW w:w="630"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noProof/>
                <w:sz w:val="28"/>
                <w:szCs w:val="28"/>
                <w:lang w:eastAsia="ru-RU"/>
              </w:rPr>
              <w:drawing>
                <wp:inline distT="0" distB="0" distL="0" distR="0" wp14:anchorId="1B30A409" wp14:editId="3411B294">
                  <wp:extent cx="295275" cy="333375"/>
                  <wp:effectExtent l="0" t="0" r="9525" b="9525"/>
                  <wp:docPr id="2" name="Рисунок 2" descr="http://www.adilet.zan.kz/files/1045/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dilet.zan.kz/files/1045/7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8834" w:type="dxa"/>
            <w:shd w:val="clear" w:color="auto" w:fill="auto"/>
            <w:hideMark/>
          </w:tcPr>
          <w:p w:rsidR="003623CA" w:rsidRPr="0088135B" w:rsidRDefault="003623CA" w:rsidP="003623CA">
            <w:pPr>
              <w:spacing w:after="0" w:line="240" w:lineRule="auto"/>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Достоверность всех сведений о квалификации подтверждаю</w:t>
            </w:r>
          </w:p>
        </w:tc>
      </w:tr>
    </w:tbl>
    <w:p w:rsidR="003623CA" w:rsidRPr="0088135B" w:rsidRDefault="003623CA" w:rsidP="003623CA">
      <w:pPr>
        <w:spacing w:after="0" w:line="240" w:lineRule="auto"/>
        <w:ind w:firstLine="460"/>
        <w:jc w:val="both"/>
        <w:rPr>
          <w:rFonts w:ascii="Times New Roman" w:eastAsia="Times New Roman" w:hAnsi="Times New Roman" w:cs="Times New Roman"/>
          <w:sz w:val="28"/>
          <w:szCs w:val="28"/>
          <w:lang w:eastAsia="ru-RU"/>
        </w:rPr>
      </w:pPr>
    </w:p>
    <w:p w:rsidR="003623CA" w:rsidRPr="0088135B" w:rsidRDefault="003623CA" w:rsidP="003623CA">
      <w:pPr>
        <w:spacing w:after="0" w:line="240" w:lineRule="auto"/>
        <w:ind w:firstLine="460"/>
        <w:jc w:val="both"/>
        <w:rPr>
          <w:rFonts w:ascii="Times New Roman" w:eastAsia="Times New Roman" w:hAnsi="Times New Roman" w:cs="Times New Roman"/>
          <w:sz w:val="28"/>
          <w:szCs w:val="28"/>
          <w:lang w:eastAsia="ru-RU"/>
        </w:rPr>
      </w:pPr>
      <w:r w:rsidRPr="0088135B">
        <w:rPr>
          <w:rFonts w:ascii="Times New Roman" w:eastAsia="Times New Roman" w:hAnsi="Times New Roman" w:cs="Times New Roman"/>
          <w:sz w:val="28"/>
          <w:szCs w:val="28"/>
          <w:lang w:eastAsia="ru-RU"/>
        </w:rPr>
        <w:t>Примечание:</w:t>
      </w:r>
    </w:p>
    <w:p w:rsidR="0088135B" w:rsidRPr="0088135B" w:rsidRDefault="003623CA" w:rsidP="0088135B">
      <w:pPr>
        <w:ind w:firstLine="709"/>
        <w:jc w:val="both"/>
        <w:rPr>
          <w:rFonts w:ascii="Times New Roman" w:eastAsia="Calibri" w:hAnsi="Times New Roman" w:cs="Times New Roman"/>
          <w:sz w:val="28"/>
          <w:szCs w:val="28"/>
        </w:rPr>
      </w:pPr>
      <w:r w:rsidRPr="0088135B">
        <w:rPr>
          <w:rFonts w:ascii="Times New Roman" w:eastAsia="Times New Roman" w:hAnsi="Times New Roman" w:cs="Times New Roman"/>
          <w:color w:val="000000"/>
          <w:sz w:val="28"/>
          <w:szCs w:val="28"/>
          <w:lang w:eastAsia="ru-RU"/>
        </w:rPr>
        <w:t xml:space="preserve">1. </w:t>
      </w:r>
      <w:r w:rsidR="0088135B" w:rsidRPr="0088135B">
        <w:rPr>
          <w:rFonts w:ascii="Times New Roman" w:eastAsia="Calibri" w:hAnsi="Times New Roman" w:cs="Times New Roman"/>
          <w:sz w:val="28"/>
          <w:szCs w:val="28"/>
        </w:rPr>
        <w:t>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lastRenderedPageBreak/>
        <w:t>2.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3.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 </w:t>
      </w:r>
    </w:p>
    <w:p w:rsidR="0088135B" w:rsidRDefault="0088135B" w:rsidP="0088135B">
      <w:pPr>
        <w:ind w:firstLine="709"/>
        <w:jc w:val="both"/>
        <w:rPr>
          <w:rFonts w:ascii="Times New Roman" w:eastAsia="Calibri" w:hAnsi="Times New Roman" w:cs="Times New Roman"/>
          <w:sz w:val="28"/>
          <w:szCs w:val="28"/>
          <w:lang w:val="en-US"/>
        </w:rPr>
      </w:pPr>
      <w:r w:rsidRPr="0088135B">
        <w:rPr>
          <w:rFonts w:ascii="Times New Roman" w:eastAsia="Calibri" w:hAnsi="Times New Roman" w:cs="Times New Roman"/>
          <w:sz w:val="28"/>
          <w:szCs w:val="28"/>
        </w:rPr>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 либо заключение о качестве строительно-монтажных работ или заключение о соответствии выполненных работ проекту или декларации о соответствии, в которых указываются сведения об этом субподрядчике.</w:t>
      </w:r>
    </w:p>
    <w:p w:rsidR="00B67F4B" w:rsidRPr="00B67F4B" w:rsidRDefault="00B67F4B" w:rsidP="0088135B">
      <w:pPr>
        <w:ind w:firstLine="709"/>
        <w:jc w:val="both"/>
        <w:rPr>
          <w:rFonts w:ascii="Times New Roman" w:eastAsia="Calibri" w:hAnsi="Times New Roman" w:cs="Times New Roman"/>
          <w:sz w:val="28"/>
          <w:szCs w:val="28"/>
        </w:rPr>
      </w:pPr>
      <w:r w:rsidRPr="00B67F4B">
        <w:rPr>
          <w:rFonts w:ascii="Times New Roman" w:eastAsia="Calibri" w:hAnsi="Times New Roman" w:cs="Times New Roman"/>
          <w:sz w:val="28"/>
          <w:szCs w:val="28"/>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4.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5.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6.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является новое строительство, учитывается опыт работы тол</w:t>
      </w:r>
      <w:bookmarkStart w:id="0" w:name="_GoBack"/>
      <w:bookmarkEnd w:id="0"/>
      <w:r w:rsidRPr="0088135B">
        <w:rPr>
          <w:rFonts w:ascii="Times New Roman" w:eastAsia="Calibri" w:hAnsi="Times New Roman" w:cs="Times New Roman"/>
          <w:sz w:val="28"/>
          <w:szCs w:val="28"/>
        </w:rPr>
        <w:t>ько строительства новых объектов.</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 xml:space="preserve">Опыт работы по реконструкции автомобильных дорог </w:t>
      </w:r>
      <w:proofErr w:type="gramStart"/>
      <w:r w:rsidRPr="0088135B">
        <w:rPr>
          <w:rFonts w:ascii="Times New Roman" w:eastAsia="Calibri" w:hAnsi="Times New Roman" w:cs="Times New Roman"/>
          <w:sz w:val="28"/>
          <w:szCs w:val="28"/>
        </w:rPr>
        <w:t>и</w:t>
      </w:r>
      <w:r w:rsidR="00195660" w:rsidRPr="00195660">
        <w:rPr>
          <w:rFonts w:ascii="Times New Roman" w:eastAsia="Calibri" w:hAnsi="Times New Roman" w:cs="Times New Roman"/>
          <w:sz w:val="28"/>
          <w:szCs w:val="28"/>
        </w:rPr>
        <w:t>(</w:t>
      </w:r>
      <w:proofErr w:type="gramEnd"/>
      <w:r w:rsidR="00195660" w:rsidRPr="00195660">
        <w:rPr>
          <w:rFonts w:ascii="Times New Roman" w:eastAsia="Calibri" w:hAnsi="Times New Roman" w:cs="Times New Roman"/>
          <w:sz w:val="28"/>
          <w:szCs w:val="28"/>
        </w:rPr>
        <w:t>или)</w:t>
      </w:r>
      <w:r w:rsidRPr="0088135B">
        <w:rPr>
          <w:rFonts w:ascii="Times New Roman" w:eastAsia="Calibri" w:hAnsi="Times New Roman" w:cs="Times New Roman"/>
          <w:sz w:val="28"/>
          <w:szCs w:val="28"/>
        </w:rPr>
        <w:t xml:space="preserve"> инженерных сетей учитывается при новом строительстве автомобильных дорог и</w:t>
      </w:r>
      <w:r w:rsidR="00195660" w:rsidRPr="00195660">
        <w:rPr>
          <w:rFonts w:ascii="Times New Roman" w:eastAsia="Calibri" w:hAnsi="Times New Roman" w:cs="Times New Roman"/>
          <w:sz w:val="28"/>
          <w:szCs w:val="28"/>
        </w:rPr>
        <w:t>(или)</w:t>
      </w:r>
      <w:r w:rsidRPr="0088135B">
        <w:rPr>
          <w:rFonts w:ascii="Times New Roman" w:eastAsia="Calibri" w:hAnsi="Times New Roman" w:cs="Times New Roman"/>
          <w:sz w:val="28"/>
          <w:szCs w:val="28"/>
        </w:rPr>
        <w:t xml:space="preserve"> инженерных сетей. </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7.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lastRenderedPageBreak/>
        <w:t>8.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 уровень ответственности зданий и сооружений (первый – повышенный, второй – нормальный, третий – пониженный).</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lastRenderedPageBreak/>
        <w:t>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88135B" w:rsidRPr="0088135B" w:rsidRDefault="0088135B" w:rsidP="0088135B">
      <w:pPr>
        <w:ind w:firstLine="709"/>
        <w:jc w:val="both"/>
        <w:rPr>
          <w:rFonts w:ascii="Times New Roman" w:eastAsia="Calibri" w:hAnsi="Times New Roman" w:cs="Times New Roman"/>
          <w:sz w:val="28"/>
          <w:szCs w:val="28"/>
        </w:rPr>
      </w:pPr>
      <w:proofErr w:type="gramStart"/>
      <w:r w:rsidRPr="0088135B">
        <w:rPr>
          <w:rFonts w:ascii="Times New Roman" w:eastAsia="Calibri" w:hAnsi="Times New Roman" w:cs="Times New Roman"/>
          <w:sz w:val="28"/>
          <w:szCs w:val="28"/>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roofErr w:type="gramEnd"/>
    </w:p>
    <w:p w:rsidR="0088135B" w:rsidRPr="0088135B" w:rsidRDefault="0088135B" w:rsidP="0088135B">
      <w:pPr>
        <w:ind w:firstLine="709"/>
        <w:jc w:val="both"/>
        <w:rPr>
          <w:rFonts w:ascii="Times New Roman" w:eastAsia="Calibri" w:hAnsi="Times New Roman" w:cs="Times New Roman"/>
          <w:bCs/>
          <w:iCs/>
          <w:sz w:val="28"/>
          <w:szCs w:val="28"/>
        </w:rPr>
      </w:pPr>
      <w:r w:rsidRPr="0088135B">
        <w:rPr>
          <w:rFonts w:ascii="Times New Roman" w:eastAsia="Calibri" w:hAnsi="Times New Roman" w:cs="Times New Roman"/>
          <w:bCs/>
          <w:iCs/>
          <w:sz w:val="28"/>
          <w:szCs w:val="28"/>
        </w:rPr>
        <w:t xml:space="preserve">12. </w:t>
      </w:r>
      <w:proofErr w:type="gramStart"/>
      <w:r w:rsidRPr="0088135B">
        <w:rPr>
          <w:rFonts w:ascii="Times New Roman" w:eastAsia="Calibri" w:hAnsi="Times New Roman" w:cs="Times New Roman"/>
          <w:bCs/>
          <w:iCs/>
          <w:sz w:val="28"/>
          <w:szCs w:val="28"/>
        </w:rPr>
        <w:t xml:space="preserve">В случае если предметом конкурса является </w:t>
      </w:r>
      <w:r w:rsidRPr="0088135B">
        <w:rPr>
          <w:rFonts w:ascii="Times New Roman" w:eastAsia="Calibri" w:hAnsi="Times New Roman" w:cs="Times New Roman"/>
          <w:sz w:val="28"/>
          <w:szCs w:val="28"/>
        </w:rPr>
        <w:t xml:space="preserve">работы по </w:t>
      </w:r>
      <w:r w:rsidRPr="0088135B">
        <w:rPr>
          <w:rFonts w:ascii="Times New Roman" w:eastAsia="Calibri" w:hAnsi="Times New Roman" w:cs="Times New Roman"/>
          <w:bCs/>
          <w:iCs/>
          <w:sz w:val="28"/>
          <w:szCs w:val="28"/>
        </w:rPr>
        <w:t xml:space="preserve">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roofErr w:type="gramEnd"/>
    </w:p>
    <w:p w:rsidR="0088135B" w:rsidRPr="0088135B" w:rsidRDefault="0088135B" w:rsidP="0088135B">
      <w:pPr>
        <w:ind w:firstLine="709"/>
        <w:jc w:val="both"/>
        <w:rPr>
          <w:rFonts w:ascii="Times New Roman" w:eastAsia="Calibri" w:hAnsi="Times New Roman" w:cs="Times New Roman"/>
          <w:bCs/>
          <w:iCs/>
          <w:sz w:val="28"/>
          <w:szCs w:val="28"/>
        </w:rPr>
      </w:pPr>
      <w:r w:rsidRPr="0088135B">
        <w:rPr>
          <w:rFonts w:ascii="Times New Roman" w:eastAsia="Calibri" w:hAnsi="Times New Roman" w:cs="Times New Roman"/>
          <w:bCs/>
          <w:iCs/>
          <w:sz w:val="28"/>
          <w:szCs w:val="28"/>
        </w:rPr>
        <w:t>13. В случае</w:t>
      </w:r>
      <w:proofErr w:type="gramStart"/>
      <w:r w:rsidRPr="0088135B">
        <w:rPr>
          <w:rFonts w:ascii="Times New Roman" w:eastAsia="Calibri" w:hAnsi="Times New Roman" w:cs="Times New Roman"/>
          <w:bCs/>
          <w:iCs/>
          <w:sz w:val="28"/>
          <w:szCs w:val="28"/>
        </w:rPr>
        <w:t>,</w:t>
      </w:r>
      <w:proofErr w:type="gramEnd"/>
      <w:r w:rsidRPr="0088135B">
        <w:rPr>
          <w:rFonts w:ascii="Times New Roman" w:eastAsia="Calibri" w:hAnsi="Times New Roman" w:cs="Times New Roman"/>
          <w:bCs/>
          <w:iCs/>
          <w:sz w:val="28"/>
          <w:szCs w:val="28"/>
        </w:rPr>
        <w:t xml:space="preserve"> если наличие опыта работы является квалификационным требованием, опыт работы субподрядчика учитывается при соблюдении в совокупности следующих условий:</w:t>
      </w:r>
    </w:p>
    <w:p w:rsidR="0088135B" w:rsidRPr="0088135B" w:rsidRDefault="0088135B" w:rsidP="0088135B">
      <w:pPr>
        <w:ind w:firstLine="709"/>
        <w:jc w:val="both"/>
        <w:rPr>
          <w:rFonts w:ascii="Times New Roman" w:eastAsia="Calibri" w:hAnsi="Times New Roman" w:cs="Times New Roman"/>
          <w:bCs/>
          <w:iCs/>
          <w:sz w:val="28"/>
          <w:szCs w:val="28"/>
        </w:rPr>
      </w:pPr>
      <w:r w:rsidRPr="0088135B">
        <w:rPr>
          <w:rFonts w:ascii="Times New Roman" w:eastAsia="Calibri" w:hAnsi="Times New Roman" w:cs="Times New Roman"/>
          <w:bCs/>
          <w:iCs/>
          <w:sz w:val="28"/>
          <w:szCs w:val="28"/>
        </w:rPr>
        <w:lastRenderedPageBreak/>
        <w:t xml:space="preserve">1) один год опыта работы присваивается при наличии не менее двух объектов выполненных работ в качестве субподрядчика. При наличии опыта работы более двух объектов выполненных работ в год, присвоение более одного года опыта работы не допускается; </w:t>
      </w:r>
    </w:p>
    <w:p w:rsidR="0088135B" w:rsidRPr="0088135B" w:rsidRDefault="0088135B" w:rsidP="0088135B">
      <w:pPr>
        <w:ind w:firstLine="709"/>
        <w:jc w:val="both"/>
        <w:rPr>
          <w:rFonts w:ascii="Times New Roman" w:eastAsia="Calibri" w:hAnsi="Times New Roman" w:cs="Times New Roman"/>
          <w:bCs/>
          <w:iCs/>
          <w:sz w:val="28"/>
          <w:szCs w:val="28"/>
        </w:rPr>
      </w:pPr>
      <w:r w:rsidRPr="0088135B">
        <w:rPr>
          <w:rFonts w:ascii="Times New Roman" w:eastAsia="Calibri" w:hAnsi="Times New Roman" w:cs="Times New Roman"/>
          <w:bCs/>
          <w:iCs/>
          <w:sz w:val="28"/>
          <w:szCs w:val="28"/>
        </w:rPr>
        <w:t>2) опыт работы субподрядчика учитывается при условии выполнения работ (одного или нескольких) на объектах, соответствующих предмету конкурса. При этом</w:t>
      </w:r>
      <w:proofErr w:type="gramStart"/>
      <w:r w:rsidRPr="0088135B">
        <w:rPr>
          <w:rFonts w:ascii="Times New Roman" w:eastAsia="Calibri" w:hAnsi="Times New Roman" w:cs="Times New Roman"/>
          <w:bCs/>
          <w:iCs/>
          <w:sz w:val="28"/>
          <w:szCs w:val="28"/>
        </w:rPr>
        <w:t>,</w:t>
      </w:r>
      <w:proofErr w:type="gramEnd"/>
      <w:r w:rsidRPr="0088135B">
        <w:rPr>
          <w:rFonts w:ascii="Times New Roman" w:eastAsia="Calibri" w:hAnsi="Times New Roman" w:cs="Times New Roman"/>
          <w:bCs/>
          <w:iCs/>
          <w:sz w:val="28"/>
          <w:szCs w:val="28"/>
        </w:rPr>
        <w:t xml:space="preserve"> опыт работы субподрядчика учитывается только по лицензируемым видам деятельности согласно Закону «О разрешениях и уведомлениях».</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14. При расчете опыта работы по договорам, со сроком свыше одного года признается год завершения строительства.</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w:t>
      </w:r>
      <w:proofErr w:type="gramStart"/>
      <w:r w:rsidRPr="0088135B">
        <w:rPr>
          <w:rFonts w:ascii="Times New Roman" w:eastAsia="Calibri" w:hAnsi="Times New Roman" w:cs="Times New Roman"/>
          <w:sz w:val="28"/>
          <w:szCs w:val="28"/>
        </w:rPr>
        <w:t>,</w:t>
      </w:r>
      <w:proofErr w:type="gramEnd"/>
      <w:r w:rsidRPr="0088135B">
        <w:rPr>
          <w:rFonts w:ascii="Times New Roman" w:eastAsia="Calibri" w:hAnsi="Times New Roman" w:cs="Times New Roman"/>
          <w:sz w:val="28"/>
          <w:szCs w:val="28"/>
        </w:rPr>
        <w:t xml:space="preserve"> срок аренды по договорам не должен быть менее срока выполнения работ, установленного в конкурсной документации.</w:t>
      </w:r>
    </w:p>
    <w:p w:rsidR="0088135B" w:rsidRPr="0088135B" w:rsidRDefault="0088135B" w:rsidP="0088135B">
      <w:pPr>
        <w:ind w:firstLine="709"/>
        <w:jc w:val="both"/>
        <w:rPr>
          <w:rFonts w:ascii="Times New Roman" w:eastAsia="Calibri" w:hAnsi="Times New Roman" w:cs="Times New Roman"/>
          <w:sz w:val="28"/>
          <w:szCs w:val="28"/>
        </w:rPr>
      </w:pPr>
      <w:r w:rsidRPr="0088135B">
        <w:rPr>
          <w:rFonts w:ascii="Times New Roman" w:eastAsia="Calibri" w:hAnsi="Times New Roman" w:cs="Times New Roman"/>
          <w:sz w:val="28"/>
          <w:szCs w:val="28"/>
        </w:rPr>
        <w:t>17. Не допускается представление электронной копии договора субаренды материальных ресурсов.</w:t>
      </w:r>
    </w:p>
    <w:p w:rsidR="0088135B" w:rsidRPr="0088135B" w:rsidRDefault="0088135B" w:rsidP="0088135B">
      <w:pPr>
        <w:ind w:firstLine="567"/>
        <w:jc w:val="both"/>
        <w:rPr>
          <w:rFonts w:ascii="Times New Roman" w:eastAsia="Calibri" w:hAnsi="Times New Roman" w:cs="Times New Roman"/>
          <w:sz w:val="28"/>
          <w:szCs w:val="28"/>
        </w:rPr>
      </w:pP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Расшифровка аббревиатур:</w:t>
      </w: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xml:space="preserve">     БИН – </w:t>
      </w:r>
      <w:proofErr w:type="gramStart"/>
      <w:r w:rsidRPr="0088135B">
        <w:rPr>
          <w:rFonts w:ascii="Times New Roman" w:hAnsi="Times New Roman" w:cs="Times New Roman"/>
          <w:sz w:val="28"/>
          <w:szCs w:val="28"/>
        </w:rPr>
        <w:t>бизнес-идентификационный</w:t>
      </w:r>
      <w:proofErr w:type="gramEnd"/>
      <w:r w:rsidRPr="0088135B">
        <w:rPr>
          <w:rFonts w:ascii="Times New Roman" w:hAnsi="Times New Roman" w:cs="Times New Roman"/>
          <w:sz w:val="28"/>
          <w:szCs w:val="28"/>
        </w:rPr>
        <w:t xml:space="preserve"> номер;</w:t>
      </w: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ИИН – индивидуальный идентификационный номер;</w:t>
      </w: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ИНН – идентификационный номер налогоплательщика;</w:t>
      </w: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УНП – учетный номер плательщика;</w:t>
      </w:r>
    </w:p>
    <w:p w:rsidR="0088135B" w:rsidRPr="0088135B" w:rsidRDefault="0088135B" w:rsidP="0088135B">
      <w:pPr>
        <w:jc w:val="both"/>
        <w:rPr>
          <w:rFonts w:ascii="Times New Roman" w:hAnsi="Times New Roman" w:cs="Times New Roman"/>
          <w:sz w:val="28"/>
          <w:szCs w:val="28"/>
        </w:rPr>
      </w:pPr>
      <w:r w:rsidRPr="0088135B">
        <w:rPr>
          <w:rFonts w:ascii="Times New Roman" w:hAnsi="Times New Roman" w:cs="Times New Roman"/>
          <w:sz w:val="28"/>
          <w:szCs w:val="28"/>
        </w:rPr>
        <w:t>     Ф.И.О. – фамилия, имя, отчество (при наличии).</w:t>
      </w:r>
    </w:p>
    <w:p w:rsidR="000016BD" w:rsidRPr="0088135B" w:rsidRDefault="000016BD" w:rsidP="0088135B">
      <w:pPr>
        <w:spacing w:after="0" w:line="240" w:lineRule="auto"/>
        <w:ind w:firstLine="460"/>
        <w:jc w:val="both"/>
        <w:rPr>
          <w:rFonts w:ascii="Times New Roman" w:hAnsi="Times New Roman" w:cs="Times New Roman"/>
          <w:sz w:val="28"/>
          <w:szCs w:val="28"/>
        </w:rPr>
      </w:pPr>
    </w:p>
    <w:sectPr w:rsidR="000016BD" w:rsidRPr="00881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F5"/>
    <w:rsid w:val="000016BD"/>
    <w:rsid w:val="000A3079"/>
    <w:rsid w:val="00133EF5"/>
    <w:rsid w:val="00195660"/>
    <w:rsid w:val="002314C3"/>
    <w:rsid w:val="0028026E"/>
    <w:rsid w:val="002E5B99"/>
    <w:rsid w:val="00332E1E"/>
    <w:rsid w:val="00332F39"/>
    <w:rsid w:val="003623CA"/>
    <w:rsid w:val="004571FA"/>
    <w:rsid w:val="005514EA"/>
    <w:rsid w:val="00593BB1"/>
    <w:rsid w:val="006F6813"/>
    <w:rsid w:val="007F5E93"/>
    <w:rsid w:val="00860D14"/>
    <w:rsid w:val="0088135B"/>
    <w:rsid w:val="00A3191C"/>
    <w:rsid w:val="00AC7AC6"/>
    <w:rsid w:val="00B236DF"/>
    <w:rsid w:val="00B23B6A"/>
    <w:rsid w:val="00B67F4B"/>
    <w:rsid w:val="00D96425"/>
    <w:rsid w:val="00DF6705"/>
    <w:rsid w:val="00E26350"/>
    <w:rsid w:val="00E9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26E"/>
    <w:rPr>
      <w:rFonts w:ascii="Tahoma" w:hAnsi="Tahoma" w:cs="Tahoma"/>
      <w:sz w:val="16"/>
      <w:szCs w:val="16"/>
    </w:rPr>
  </w:style>
  <w:style w:type="character" w:customStyle="1" w:styleId="apple-converted-space">
    <w:name w:val="apple-converted-space"/>
    <w:basedOn w:val="a0"/>
    <w:rsid w:val="005514EA"/>
  </w:style>
  <w:style w:type="character" w:styleId="a5">
    <w:name w:val="Strong"/>
    <w:basedOn w:val="a0"/>
    <w:uiPriority w:val="22"/>
    <w:qFormat/>
    <w:rsid w:val="005514EA"/>
    <w:rPr>
      <w:b/>
      <w:bCs/>
    </w:rPr>
  </w:style>
  <w:style w:type="character" w:styleId="a6">
    <w:name w:val="annotation reference"/>
    <w:basedOn w:val="a0"/>
    <w:uiPriority w:val="99"/>
    <w:semiHidden/>
    <w:unhideWhenUsed/>
    <w:rsid w:val="003623CA"/>
    <w:rPr>
      <w:sz w:val="16"/>
      <w:szCs w:val="16"/>
    </w:rPr>
  </w:style>
  <w:style w:type="paragraph" w:styleId="a7">
    <w:name w:val="annotation text"/>
    <w:basedOn w:val="a"/>
    <w:link w:val="a8"/>
    <w:uiPriority w:val="99"/>
    <w:semiHidden/>
    <w:unhideWhenUsed/>
    <w:rsid w:val="003623C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3623CA"/>
    <w:rPr>
      <w:rFonts w:ascii="Times New Roman" w:eastAsia="Times New Roman" w:hAnsi="Times New Roman" w:cs="Times New Roman"/>
      <w:sz w:val="20"/>
      <w:szCs w:val="20"/>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AC7AC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AC7AC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26E"/>
    <w:rPr>
      <w:rFonts w:ascii="Tahoma" w:hAnsi="Tahoma" w:cs="Tahoma"/>
      <w:sz w:val="16"/>
      <w:szCs w:val="16"/>
    </w:rPr>
  </w:style>
  <w:style w:type="character" w:customStyle="1" w:styleId="apple-converted-space">
    <w:name w:val="apple-converted-space"/>
    <w:basedOn w:val="a0"/>
    <w:rsid w:val="005514EA"/>
  </w:style>
  <w:style w:type="character" w:styleId="a5">
    <w:name w:val="Strong"/>
    <w:basedOn w:val="a0"/>
    <w:uiPriority w:val="22"/>
    <w:qFormat/>
    <w:rsid w:val="005514EA"/>
    <w:rPr>
      <w:b/>
      <w:bCs/>
    </w:rPr>
  </w:style>
  <w:style w:type="character" w:styleId="a6">
    <w:name w:val="annotation reference"/>
    <w:basedOn w:val="a0"/>
    <w:uiPriority w:val="99"/>
    <w:semiHidden/>
    <w:unhideWhenUsed/>
    <w:rsid w:val="003623CA"/>
    <w:rPr>
      <w:sz w:val="16"/>
      <w:szCs w:val="16"/>
    </w:rPr>
  </w:style>
  <w:style w:type="paragraph" w:styleId="a7">
    <w:name w:val="annotation text"/>
    <w:basedOn w:val="a"/>
    <w:link w:val="a8"/>
    <w:uiPriority w:val="99"/>
    <w:semiHidden/>
    <w:unhideWhenUsed/>
    <w:rsid w:val="003623C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3623CA"/>
    <w:rPr>
      <w:rFonts w:ascii="Times New Roman" w:eastAsia="Times New Roman" w:hAnsi="Times New Roman" w:cs="Times New Roman"/>
      <w:sz w:val="20"/>
      <w:szCs w:val="20"/>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AC7AC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AC7AC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Азенова</dc:creator>
  <cp:lastModifiedBy>Аймұрат Төребаев</cp:lastModifiedBy>
  <cp:revision>2</cp:revision>
  <dcterms:created xsi:type="dcterms:W3CDTF">2018-12-30T11:17:00Z</dcterms:created>
  <dcterms:modified xsi:type="dcterms:W3CDTF">2018-12-30T11:17:00Z</dcterms:modified>
</cp:coreProperties>
</file>